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  <w:spacing w:after="0" w:afterAutospacing="0" w:line="17" w:lineRule="atLeast"/>
        <w:rPr>
          <w:rFonts w:ascii="Tinos" w:hAnsi="Tinos" w:eastAsia="Tinos" w:cs="Tinos"/>
          <w:b/>
          <w:bCs/>
          <w:sz w:val="28"/>
          <w:szCs w:val="28"/>
          <w:highlight w:val="none"/>
        </w:rPr>
      </w:pP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045549" cy="751746"/>
                <wp:effectExtent l="0" t="0" r="0" b="0"/>
                <wp:docPr id="1" name="Рисунок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32839278" name=""/>
                        <pic:cNvPicPr/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 rot="0" flipH="0" flipV="0">
                          <a:off x="0" y="0"/>
                          <a:ext cx="2045548" cy="751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 val="solid"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61.07pt;height:59.19pt;mso-wrap-distance-left:0.00pt;mso-wrap-distance-top:0.00pt;mso-wrap-distance-right:0.00pt;mso-wrap-distance-bottom:0.00pt;rotation:0;" stroked="f">
                <v:path textboxrect="0,0,0,0"/>
                <v:imagedata r:id="rId8" o:title=""/>
              </v:shape>
            </w:pict>
          </mc:Fallback>
        </mc:AlternateContent>
      </w:r>
      <w:r/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</w:p>
    <w:p>
      <w:pPr>
        <w:jc w:val="center"/>
        <w:spacing w:after="0" w:afterAutospacing="0" w:line="17" w:lineRule="atLeast"/>
        <w:rPr>
          <w:rFonts w:ascii="Tinos" w:hAnsi="Tinos" w:eastAsia="Tinos" w:cs="Tinos"/>
          <w:b/>
          <w:bCs/>
          <w:sz w:val="28"/>
          <w:szCs w:val="28"/>
          <w:highlight w:val="none"/>
        </w:rPr>
      </w:pP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</w:p>
    <w:p>
      <w:pPr>
        <w:jc w:val="center"/>
        <w:spacing w:after="0" w:afterAutospacing="0" w:line="17" w:lineRule="atLeast"/>
        <w:rPr>
          <w:rFonts w:ascii="Tinos" w:hAnsi="Tinos" w:eastAsia="Tinos" w:cs="Tinos"/>
          <w:b/>
          <w:bCs/>
          <w:sz w:val="28"/>
          <w:szCs w:val="28"/>
          <w:highlight w:val="none"/>
        </w:rPr>
      </w:pPr>
      <w:r>
        <w:rPr>
          <w:rFonts w:ascii="Tinos" w:hAnsi="Tinos" w:eastAsia="Tinos" w:cs="Tinos"/>
          <w:b/>
          <w:bCs/>
          <w:sz w:val="28"/>
          <w:szCs w:val="28"/>
        </w:rPr>
        <w:t xml:space="preserve">Г</w:t>
      </w:r>
      <w:r>
        <w:rPr>
          <w:rFonts w:ascii="Tinos" w:hAnsi="Tinos" w:eastAsia="Tinos" w:cs="Tinos"/>
          <w:b/>
          <w:bCs/>
          <w:sz w:val="28"/>
          <w:szCs w:val="28"/>
        </w:rPr>
        <w:t xml:space="preserve">о</w:t>
      </w:r>
      <w:r>
        <w:rPr>
          <w:rFonts w:ascii="Tinos" w:hAnsi="Tinos" w:eastAsia="Tinos" w:cs="Tinos"/>
          <w:b/>
          <w:bCs/>
          <w:sz w:val="28"/>
          <w:szCs w:val="28"/>
        </w:rPr>
        <w:t xml:space="preserve">сдума приняла законопроекты, </w:t>
      </w:r>
      <w:r>
        <w:rPr>
          <w:rFonts w:ascii="Tinos" w:hAnsi="Tinos" w:eastAsia="Tinos" w:cs="Tinos"/>
          <w:b/>
          <w:bCs/>
          <w:sz w:val="28"/>
          <w:szCs w:val="28"/>
        </w:rPr>
      </w:r>
    </w:p>
    <w:p>
      <w:pPr>
        <w:jc w:val="center"/>
        <w:spacing w:after="0" w:afterAutospacing="0" w:line="17" w:lineRule="atLeast"/>
        <w:rPr>
          <w:rFonts w:ascii="Tinos" w:hAnsi="Tinos" w:cs="Tinos"/>
          <w:b/>
          <w:bCs/>
          <w:sz w:val="28"/>
          <w:szCs w:val="28"/>
        </w:rPr>
      </w:pPr>
      <w:r>
        <w:rPr>
          <w:rFonts w:ascii="Tinos" w:hAnsi="Tinos" w:eastAsia="Tinos" w:cs="Tinos"/>
          <w:b/>
          <w:bCs/>
          <w:sz w:val="28"/>
          <w:szCs w:val="28"/>
        </w:rPr>
        <w:t xml:space="preserve">важные для сферы земельно-имущественных отношений</w:t>
      </w:r>
      <w:r>
        <w:rPr>
          <w:rFonts w:ascii="Tinos" w:hAnsi="Tinos" w:eastAsia="Tinos" w:cs="Tinos"/>
          <w:b/>
          <w:bCs/>
          <w:sz w:val="28"/>
          <w:szCs w:val="28"/>
        </w:rPr>
      </w:r>
      <w:r>
        <w:rPr>
          <w:rFonts w:ascii="Tinos" w:hAnsi="Tinos" w:eastAsia="Tinos" w:cs="Tinos"/>
          <w:sz w:val="28"/>
          <w:szCs w:val="28"/>
        </w:rPr>
      </w:r>
    </w:p>
    <w:p>
      <w:pPr>
        <w:spacing w:after="0" w:afterAutospacing="0" w:line="17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</w:rPr>
        <w:t xml:space="preserve"> </w:t>
      </w:r>
      <w:r>
        <w:rPr>
          <w:rFonts w:ascii="Tinos" w:hAnsi="Tinos" w:eastAsia="Tinos" w:cs="Tinos"/>
          <w:sz w:val="28"/>
          <w:szCs w:val="28"/>
        </w:rPr>
      </w:r>
    </w:p>
    <w:p>
      <w:pPr>
        <w:ind w:left="0" w:right="0" w:firstLine="709"/>
        <w:jc w:val="both"/>
        <w:spacing w:after="0" w:afterAutospacing="0" w:line="17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</w:rPr>
        <w:t xml:space="preserve">В I чтении одобрен законопроект, предусматривающий упрощенную процедуру кадастрового учета и регистрации прав на объекты гаражного назначения и расположенные под ними земельные участки («гаражная амнистия»). Законопроект предлагает продлить действие «</w:t>
      </w:r>
      <w:r>
        <w:rPr>
          <w:rFonts w:ascii="Tinos" w:hAnsi="Tinos" w:eastAsia="Tinos" w:cs="Tinos"/>
          <w:sz w:val="28"/>
          <w:szCs w:val="28"/>
        </w:rPr>
        <w:t xml:space="preserve">гаражной амнистии» на 5 лет, до 1 сентября 2031 года.</w:t>
      </w:r>
      <w:r>
        <w:rPr>
          <w:rFonts w:ascii="Tinos" w:hAnsi="Tinos" w:eastAsia="Tinos" w:cs="Tinos"/>
          <w:sz w:val="28"/>
          <w:szCs w:val="28"/>
        </w:rPr>
      </w:r>
    </w:p>
    <w:p>
      <w:pPr>
        <w:ind w:left="0" w:right="0" w:firstLine="709"/>
        <w:jc w:val="both"/>
        <w:spacing w:after="0" w:afterAutospacing="0" w:line="17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</w:rPr>
        <w:t xml:space="preserve"> </w:t>
      </w: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eastAsia="Tinos" w:cs="Tinos"/>
          <w:sz w:val="28"/>
          <w:szCs w:val="28"/>
        </w:rPr>
        <w:t xml:space="preserve">«Гаражная амнистия» действует с 1 сентября 2021 года и стала востребованным механизмом, который позволяет гражданам в упрощенном порядке оформить гаражи и земельные участки под ними. С начала её действия по всей стране оформлено 267,4 тыс. гаражей и 531 тыс. земельных уча</w:t>
      </w:r>
      <w:r>
        <w:rPr>
          <w:rFonts w:ascii="Tinos" w:hAnsi="Tinos" w:eastAsia="Tinos" w:cs="Tinos"/>
          <w:sz w:val="28"/>
          <w:szCs w:val="28"/>
        </w:rPr>
        <w:t xml:space="preserve">стков общей площадью 1,7 тыс. га. </w:t>
      </w:r>
      <w:r>
        <w:rPr>
          <w:rFonts w:ascii="Tinos" w:hAnsi="Tinos" w:eastAsia="Tinos" w:cs="Tinos"/>
          <w:sz w:val="28"/>
          <w:szCs w:val="28"/>
        </w:rPr>
        <w:t xml:space="preserve"> </w:t>
      </w: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left="0" w:right="0" w:firstLine="709"/>
        <w:jc w:val="both"/>
        <w:spacing w:after="0" w:afterAutospacing="0" w:line="17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</w:rPr>
        <w:t xml:space="preserve">Кроме того, во II и III чтениях принят законопроект, который   предусматривает продление срока действия договоров аренды и безвозмездного пользования земельными участками для участников СВО.</w:t>
      </w:r>
      <w:r>
        <w:rPr>
          <w:rFonts w:ascii="Tinos" w:hAnsi="Tinos" w:eastAsia="Tinos" w:cs="Tinos"/>
          <w:sz w:val="28"/>
          <w:szCs w:val="28"/>
        </w:rPr>
      </w:r>
    </w:p>
    <w:p>
      <w:pPr>
        <w:ind w:left="0" w:right="0" w:firstLine="709"/>
        <w:jc w:val="both"/>
        <w:spacing w:after="0" w:afterAutospacing="0" w:line="17" w:lineRule="atLeast"/>
        <w:rPr>
          <w:rFonts w:ascii="Tinos" w:hAnsi="Tinos" w:eastAsia="Tinos" w:cs="Tinos"/>
          <w:b/>
          <w:bCs/>
          <w:sz w:val="28"/>
          <w:szCs w:val="28"/>
          <w:highlight w:val="none"/>
        </w:rPr>
      </w:pPr>
      <w:r>
        <w:rPr>
          <w:rFonts w:ascii="Tinos" w:hAnsi="Tinos" w:eastAsia="Tinos" w:cs="Tinos"/>
          <w:sz w:val="28"/>
          <w:szCs w:val="28"/>
        </w:rPr>
        <w:t xml:space="preserve"> </w:t>
      </w: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eastAsia="Tinos" w:cs="Tinos"/>
          <w:sz w:val="28"/>
          <w:szCs w:val="28"/>
        </w:rPr>
        <w:t xml:space="preserve">«</w:t>
      </w:r>
      <w:r>
        <w:rPr>
          <w:rFonts w:ascii="Tinos" w:hAnsi="Tinos" w:eastAsia="Tinos" w:cs="Tinos"/>
          <w:i/>
          <w:iCs/>
          <w:sz w:val="28"/>
          <w:szCs w:val="28"/>
        </w:rPr>
        <w:t xml:space="preserve">Предлагаются дополнительные гарантии для участников СВО, с которыми заключены договоры аренды или договоры безвозмездного пользования земельными участками из государственной или муниципальной собственности. Права на такие участки будут сохранят</w:t>
      </w:r>
      <w:r>
        <w:rPr>
          <w:rFonts w:ascii="Tinos" w:hAnsi="Tinos" w:eastAsia="Tinos" w:cs="Tinos"/>
          <w:i/>
          <w:iCs/>
          <w:sz w:val="28"/>
          <w:szCs w:val="28"/>
        </w:rPr>
        <w:t xml:space="preserve">ься за участниками СВО и после истечения срока действия ранее заключенных договоров</w:t>
      </w:r>
      <w:r>
        <w:rPr>
          <w:rFonts w:ascii="Tinos" w:hAnsi="Tinos" w:eastAsia="Tinos" w:cs="Tinos"/>
          <w:sz w:val="28"/>
          <w:szCs w:val="28"/>
        </w:rPr>
        <w:t xml:space="preserve">», – рассказала руководитель регионального Росреестра </w:t>
      </w:r>
      <w:r>
        <w:rPr>
          <w:rFonts w:ascii="Tinos" w:hAnsi="Tinos" w:eastAsia="Tinos" w:cs="Tinos"/>
          <w:b/>
          <w:bCs/>
          <w:sz w:val="28"/>
          <w:szCs w:val="28"/>
        </w:rPr>
        <w:t xml:space="preserve">Лар</w:t>
      </w:r>
      <w:r>
        <w:rPr>
          <w:rFonts w:ascii="Tinos" w:hAnsi="Tinos" w:eastAsia="Tinos" w:cs="Tinos"/>
          <w:b/>
          <w:bCs/>
          <w:sz w:val="28"/>
          <w:szCs w:val="28"/>
        </w:rPr>
        <w:t xml:space="preserve">иса Вопиловская.</w:t>
      </w:r>
      <w:r>
        <w:rPr>
          <w:rFonts w:ascii="Tinos" w:hAnsi="Tinos" w:eastAsia="Tinos" w:cs="Tinos"/>
          <w:b/>
          <w:bCs/>
          <w:sz w:val="28"/>
          <w:szCs w:val="28"/>
        </w:rPr>
      </w:r>
      <w:r>
        <w:rPr>
          <w:rFonts w:ascii="Tinos" w:hAnsi="Tinos" w:eastAsia="Tinos" w:cs="Tinos"/>
          <w:b/>
          <w:bCs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left="0" w:right="0" w:firstLine="709"/>
        <w:jc w:val="both"/>
        <w:spacing w:after="0" w:afterAutospacing="0" w:line="17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left="0" w:right="0" w:firstLine="709"/>
        <w:jc w:val="both"/>
        <w:spacing w:after="0" w:afterAutospacing="0" w:line="17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left="0" w:right="0" w:firstLine="709"/>
        <w:jc w:val="both"/>
        <w:spacing w:after="0" w:afterAutospacing="0" w:line="17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left="0" w:right="0" w:firstLine="709"/>
        <w:jc w:val="right"/>
        <w:spacing w:after="0" w:afterAutospacing="0" w:line="17" w:lineRule="atLeast"/>
        <w:rPr>
          <w:rFonts w:ascii="Tinos" w:hAnsi="Tinos" w:cs="Tinos"/>
          <w:b w:val="0"/>
          <w:bCs w:val="0"/>
          <w:sz w:val="28"/>
          <w:szCs w:val="28"/>
        </w:rPr>
      </w:pPr>
      <w:r>
        <w:rPr>
          <w:rFonts w:ascii="Tinos" w:hAnsi="Tinos" w:eastAsia="Tinos" w:cs="Tinos"/>
          <w:b w:val="0"/>
          <w:bCs w:val="0"/>
          <w:sz w:val="28"/>
          <w:szCs w:val="28"/>
          <w:highlight w:val="none"/>
        </w:rPr>
        <w:t xml:space="preserve">Материал подготовлен Управлением Росреестра по Республике Алтай</w:t>
      </w:r>
      <w:r>
        <w:rPr>
          <w:rFonts w:ascii="Tinos" w:hAnsi="Tinos" w:eastAsia="Tinos" w:cs="Tinos"/>
          <w:b w:val="0"/>
          <w:bCs w:val="0"/>
          <w:sz w:val="28"/>
          <w:szCs w:val="28"/>
          <w:highlight w:val="none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Liberation Sans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18"/>
    <w:next w:val="618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12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18"/>
    <w:next w:val="618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12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18"/>
    <w:next w:val="618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12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18"/>
    <w:next w:val="618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12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18"/>
    <w:next w:val="618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12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18"/>
    <w:next w:val="618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12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18"/>
    <w:next w:val="618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12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18"/>
    <w:next w:val="618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12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18"/>
    <w:next w:val="618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12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5">
    <w:name w:val="Title"/>
    <w:basedOn w:val="618"/>
    <w:next w:val="618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12"/>
    <w:link w:val="35"/>
    <w:uiPriority w:val="10"/>
    <w:rPr>
      <w:sz w:val="48"/>
      <w:szCs w:val="48"/>
    </w:rPr>
  </w:style>
  <w:style w:type="paragraph" w:styleId="37">
    <w:name w:val="Subtitle"/>
    <w:basedOn w:val="618"/>
    <w:next w:val="618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12"/>
    <w:link w:val="37"/>
    <w:uiPriority w:val="11"/>
    <w:rPr>
      <w:sz w:val="24"/>
      <w:szCs w:val="24"/>
    </w:rPr>
  </w:style>
  <w:style w:type="paragraph" w:styleId="39">
    <w:name w:val="Quote"/>
    <w:basedOn w:val="618"/>
    <w:next w:val="618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18"/>
    <w:next w:val="618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18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12"/>
    <w:link w:val="43"/>
    <w:uiPriority w:val="99"/>
  </w:style>
  <w:style w:type="paragraph" w:styleId="45">
    <w:name w:val="Footer"/>
    <w:basedOn w:val="618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12"/>
    <w:link w:val="45"/>
    <w:uiPriority w:val="99"/>
  </w:style>
  <w:style w:type="paragraph" w:styleId="47">
    <w:name w:val="Caption"/>
    <w:basedOn w:val="618"/>
    <w:next w:val="618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12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61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149">
    <w:name w:val="List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50">
    <w:name w:val="List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51">
    <w:name w:val="List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52">
    <w:name w:val="List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153">
    <w:name w:val="List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54">
    <w:name w:val="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6">
    <w:name w:val="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7">
    <w:name w:val="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8">
    <w:name w:val="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9">
    <w:name w:val="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0">
    <w:name w:val="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1">
    <w:name w:val="Bordered &amp; 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3">
    <w:name w:val="Bordered &amp; 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4">
    <w:name w:val="Bordered &amp; 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5">
    <w:name w:val="Bordered &amp; 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6">
    <w:name w:val="Bordered &amp; 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7">
    <w:name w:val="Bordered &amp; 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8">
    <w:name w:val="Bordered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18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12"/>
    <w:uiPriority w:val="99"/>
    <w:unhideWhenUsed/>
    <w:rPr>
      <w:vertAlign w:val="superscript"/>
    </w:rPr>
  </w:style>
  <w:style w:type="paragraph" w:styleId="179">
    <w:name w:val="endnote text"/>
    <w:basedOn w:val="618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12"/>
    <w:uiPriority w:val="99"/>
    <w:semiHidden/>
    <w:unhideWhenUsed/>
    <w:rPr>
      <w:vertAlign w:val="superscript"/>
    </w:rPr>
  </w:style>
  <w:style w:type="paragraph" w:styleId="182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</w:style>
  <w:style w:type="table" w:styleId="61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0" w:default="1">
    <w:name w:val="No List"/>
    <w:uiPriority w:val="99"/>
    <w:semiHidden/>
    <w:unhideWhenUsed/>
  </w:style>
  <w:style w:type="paragraph" w:styleId="621">
    <w:name w:val="No Spacing"/>
    <w:basedOn w:val="618"/>
    <w:uiPriority w:val="1"/>
    <w:qFormat/>
    <w:pPr>
      <w:spacing w:after="0" w:line="240" w:lineRule="auto"/>
    </w:pPr>
  </w:style>
  <w:style w:type="paragraph" w:styleId="622">
    <w:name w:val="List Paragraph"/>
    <w:basedOn w:val="618"/>
    <w:uiPriority w:val="34"/>
    <w:qFormat/>
    <w:pPr>
      <w:contextualSpacing/>
      <w:ind w:left="720"/>
    </w:pPr>
  </w:style>
  <w:style w:type="character" w:styleId="627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napalkova</cp:lastModifiedBy>
  <cp:revision>1</cp:revision>
  <dcterms:modified xsi:type="dcterms:W3CDTF">2026-05-22T01:31:32Z</dcterms:modified>
</cp:coreProperties>
</file>