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left"/>
        <w:spacing w:before="0" w:beforeAutospacing="0" w:after="0" w:afterAutospacing="0" w:line="17" w:lineRule="atLeast"/>
        <w:rPr>
          <w:rFonts w:ascii="Tinos" w:hAnsi="Tinos" w:eastAsia="Tinos" w:cs="Tinos"/>
          <w:b/>
          <w:bCs/>
          <w:color w:val="3d4146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629675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  <w:r/>
      <w:r>
        <w:rPr>
          <w:rFonts w:ascii="Tinos" w:hAnsi="Tinos" w:eastAsia="Tinos" w:cs="Tinos"/>
          <w:b/>
          <w:color w:val="3d4146"/>
          <w:sz w:val="28"/>
          <w:szCs w:val="28"/>
          <w:highlight w:val="none"/>
        </w:rPr>
      </w:r>
      <w:r>
        <w:rPr>
          <w:rFonts w:ascii="Tinos" w:hAnsi="Tinos" w:eastAsia="Tinos" w:cs="Tinos"/>
          <w:b/>
          <w:color w:val="3d4146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beforeAutospacing="0" w:after="0" w:afterAutospacing="0" w:line="17" w:lineRule="atLeast"/>
        <w:rPr>
          <w:rFonts w:ascii="Tinos" w:hAnsi="Tinos" w:eastAsia="Tinos" w:cs="Tinos"/>
          <w:b/>
          <w:bCs/>
          <w:color w:val="3d414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  <w:highlight w:val="none"/>
        </w:rPr>
      </w:r>
      <w:r>
        <w:rPr>
          <w:rFonts w:ascii="Tinos" w:hAnsi="Tinos" w:eastAsia="Tinos" w:cs="Tinos"/>
          <w:b/>
          <w:color w:val="3d4146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beforeAutospacing="0" w:after="0" w:afterAutospacing="0" w:line="17" w:lineRule="atLeast"/>
        <w:rPr>
          <w:rFonts w:ascii="Tinos" w:hAnsi="Tinos" w:eastAsia="Tinos" w:cs="Tinos"/>
          <w:b/>
          <w:bCs/>
          <w:color w:val="3d414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Как осуществляются сделки с недвижимостью 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center"/>
        <w:spacing w:before="0" w:beforeAutospacing="0" w:after="0" w:afterAutospacing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с участием несовершеннолетних?</w:t>
      </w:r>
      <w:r>
        <w:rPr>
          <w:rFonts w:ascii="Tinos" w:hAnsi="Tinos" w:eastAsia="Tinos" w:cs="Tinos"/>
          <w:sz w:val="28"/>
          <w:szCs w:val="28"/>
        </w:rPr>
      </w:r>
      <w:r/>
    </w:p>
    <w:p>
      <w:pPr>
        <w:ind w:left="0" w:right="0" w:firstLine="0"/>
        <w:spacing w:before="0" w:beforeAutospacing="0" w:after="0" w:afterAutospacing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В Международный день защиты детей специалисты Управления Росреестра по Республике Алтай разъясняют вопросы о правах детей при совершении сделок с недвижимостью.</w:t>
      </w:r>
      <w:r>
        <w:rPr>
          <w:rFonts w:ascii="Tinos" w:hAnsi="Tinos" w:cs="Tinos"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b/>
          <w:bCs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color w:val="292c2f"/>
          <w:sz w:val="28"/>
          <w:szCs w:val="28"/>
        </w:rPr>
        <w:t xml:space="preserve">В</w:t>
      </w:r>
      <w:r>
        <w:rPr>
          <w:rFonts w:ascii="Tinos" w:hAnsi="Tinos" w:eastAsia="Tinos" w:cs="Tinos"/>
          <w:i/>
          <w:iCs/>
          <w:color w:val="292c2f"/>
          <w:sz w:val="28"/>
          <w:szCs w:val="28"/>
        </w:rPr>
        <w:t xml:space="preserve">ажно знать, что детские права охраняются законом, поэтому они должны контролироваться родителями или иными законными представителями. В свою очередь, действия родителей, опекунов или попечителей по управлению имуществом детей подпадают под юрисдикцию орган</w:t>
      </w:r>
      <w:r>
        <w:rPr>
          <w:rFonts w:ascii="Tinos" w:hAnsi="Tinos" w:eastAsia="Tinos" w:cs="Tinos"/>
          <w:i/>
          <w:iCs/>
          <w:color w:val="292c2f"/>
          <w:sz w:val="28"/>
          <w:szCs w:val="28"/>
        </w:rPr>
        <w:t xml:space="preserve">ов опеки и попечительства. Более того, возраст несовершеннолетнего влияет на объем полномочий при сделках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», – разъясняет руководитель Управления </w:t>
      </w:r>
      <w:r>
        <w:rPr>
          <w:rFonts w:ascii="Tinos" w:hAnsi="Tinos" w:eastAsia="Tinos" w:cs="Tinos"/>
          <w:b/>
          <w:bCs/>
          <w:color w:val="292c2f"/>
          <w:sz w:val="28"/>
          <w:szCs w:val="28"/>
        </w:rPr>
        <w:t xml:space="preserve">Лариса Вопиловская.</w:t>
      </w:r>
      <w:r>
        <w:rPr>
          <w:rFonts w:ascii="Tinos" w:hAnsi="Tinos" w:eastAsia="Tinos" w:cs="Tinos"/>
          <w:b/>
          <w:bCs/>
          <w:color w:val="292c2f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b/>
          <w:bCs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b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b/>
          <w:bCs/>
          <w:color w:val="292c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292c2f"/>
          <w:sz w:val="28"/>
          <w:szCs w:val="28"/>
        </w:rPr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Категории несовершеннолетних лиц</w:t>
      </w:r>
      <w:r>
        <w:rPr>
          <w:rFonts w:ascii="Tinos" w:hAnsi="Tinos" w:eastAsia="Tinos" w:cs="Tinos"/>
          <w:b/>
          <w:bCs/>
          <w:color w:val="292c2f"/>
          <w:sz w:val="28"/>
          <w:szCs w:val="28"/>
        </w:rPr>
      </w:r>
      <w:r/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Совершая сделку с недвижимым имуществом, собственником которого является ребенок, необходимо знать, что объем его прав существенно отличается от объема прав совершеннолетнего. Необходимо учитывать эти особенности при совершении сделок с недвижимостью, инач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е их могут признать недействительными.</w:t>
      </w:r>
      <w:r>
        <w:rPr>
          <w:rFonts w:ascii="Tinos" w:hAnsi="Tinos" w:cs="Tinos"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cs="Tinos"/>
          <w:color w:val="292c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Несовершеннолетние, то есть лица, не достигшие 18 лет (совершеннолетия), подразделяются на две категории (ст. ст. 26, 28 ГК РФ):</w:t>
      </w:r>
      <w:r/>
      <w:r/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– лица в возрасте от 14 до 18 лет;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– лица, не достигшие 14 лет.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Первая категория лиц, в отличие от второй, наделена большими правами при заключении сделок с недвижимостью. Дети в возрасте от 14 до 18 лет могут совершать сделки с недвижимостью, но только при наличии письменного согласия сво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их законных представителей – родителей, усыновителей или попечителей. Если сделка была совершена без согласия законных представителей ребенка, она может быть признана судом недействительной (п. 1 ст. 26, ст. 175 ГК РФ).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Лица, не достигшие 14-летнего возра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ста (малолетние) в сделках не участвуют, их интересы представляют родители, усыновители или опекуны (п. 1 ст. 28, ст. 172 ГК РФ).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color w:val="292c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При этом как в первом, так и во втором случае законные представители должны предварительно заручиться разрешением органа опек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и и попечительства (п. 2 ст. 37 ГК РФ; п. 3 ст. 60 СК РФ; ч. 1 ст. 21 Закона от 24.04.2008 N 48-ФЗ).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b/>
          <w:bCs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Получение предварительного разрешения органа опеки и попечительства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292c2f"/>
          <w:sz w:val="28"/>
          <w:szCs w:val="28"/>
        </w:rPr>
      </w:r>
      <w:r>
        <w:rPr>
          <w:rFonts w:ascii="Tinos" w:hAnsi="Tinos" w:eastAsia="Tinos" w:cs="Tinos"/>
          <w:color w:val="292c2f"/>
          <w:sz w:val="28"/>
          <w:szCs w:val="28"/>
        </w:rPr>
        <w:t xml:space="preserve">Недвижимость, собственником которой является ребенок, является исключительно его имуществом. Родители, усыновители и опекуны не могут по своей воле продать, обменять, подарить, сдать в аренду, разделить или выделить доли из имущества ребёнка без предварите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льного разрешения органов опеки и попечительства (п. 1 ст. 28 ГК РФ; п. 3 ст. 60 СК РФ).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При этом предварительное разрешение, выданное органом опеки и попечительства, как правило, содержит определенное условие. Например, приобретение в собственность ребен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ка иного недвижимого имущества взамен отчуждаемого. Это условие должно быть выполнено до того, как документы по отчуждению имущества ребенка будут представлены в органы регистрации. Обойти это условие не удастся, в противном случае в регистрации сделки буд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ет отказано.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Без предварительного разрешения органов опеки опекун не вправе совершать, а попечитель не вправе давать согласие на совершение сделок по отчуждению имущества подопечного, в том числе:</w:t>
      </w:r>
      <w:r/>
      <w:r/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– по обмену или дарению;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– сдаче внаем (аренду);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– сдаче в безвозмездное пользование или в залог;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– влекущих отказ от принадлежащих подопечному прав, раздел его имущества или выдел из него долей;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– любых других действий по уменьшению стоимости имущества подопечного.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b/>
          <w:bCs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Нотариальное удостоверение сделки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Завершающее требование – обязательное нотариальное удостоверение сделок по отчуждению объектов недвижимости, если их собственником либо участником общей собственности является несовершеннолетний. Несоблюдение нотариальной формы сделки влечет ее ничтожность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, то есть недействительность.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b/>
          <w:bCs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Подача документов на регистрацию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292c2f"/>
          <w:sz w:val="28"/>
          <w:szCs w:val="28"/>
        </w:rPr>
      </w:r>
      <w:r>
        <w:rPr>
          <w:rFonts w:ascii="Tinos" w:hAnsi="Tinos" w:eastAsia="Tinos" w:cs="Tinos"/>
          <w:color w:val="292c2f"/>
          <w:sz w:val="28"/>
          <w:szCs w:val="28"/>
        </w:rPr>
        <w:t xml:space="preserve">Поскольку договор об отчуждении объекта недвижимости, принадлежащего несовершеннолетнему, подлежит нотариальному удостоверению, за государственной регистрацией прав на основании такого договора может обратиться нотариус, удостоверивший этот договор, или лю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бая из его сторон.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cs="Tinos"/>
          <w:sz w:val="28"/>
          <w:szCs w:val="28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  <w:u w:val="none"/>
        </w:rPr>
        <w:t xml:space="preserve">Подать пакет документов на регистрацию сделки с участием несовершеннолетних можно несколькими способами:</w:t>
      </w:r>
      <w:r>
        <w:rPr>
          <w:u w:val="none"/>
        </w:rPr>
      </w:r>
      <w:r>
        <w:rPr>
          <w:u w:val="none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– лично в МФЦ (в том числе по экстерриториальному принципу);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– лично в рамках услуги по выездному обслуживанию;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– дистанционно с помощью единого портала государственных и муниципальных услуг или личного кабинета на официальном сайте Росреестра.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17" w:lineRule="atLeast"/>
        <w:rPr>
          <w:rFonts w:ascii="Tinos" w:hAnsi="Tinos" w:eastAsia="Tinos" w:cs="Tinos"/>
          <w:color w:val="292c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Материал подготовлен Управлением Росреестра по Республике Алтай</w:t>
        <w:br/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1</cp:revision>
  <dcterms:modified xsi:type="dcterms:W3CDTF">2026-05-27T04:10:27Z</dcterms:modified>
</cp:coreProperties>
</file>